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FFFFFF"/>
          <w:left w:val="single" w:sz="6" w:color="FFFFFF"/>
          <w:bottom w:val="single" w:sz="6" w:color="FFFFFF"/>
          <w:right w:val="single" w:sz="6" w:color="FFFFFF"/>
          <w:insideH w:val="single" w:sz="6" w:color="FFFFFF"/>
          <w:insideV w:val="single" w:sz="6" w:color="FFFFFF"/>
        </w:tblBorders>
      </w:tblPr>
      <w:tblGrid>
        <w:gridCol w:w="7128"/>
        <w:gridCol w:w="2232"/>
      </w:tblGrid>
      <w:tr>
        <w:tc>
          <w:tcPr>
            <w:tcW w:type="dxa" w:w="7128"/>
          </w:tcPr>
          <w:p>
            <w:pPr>
              <w:spacing w:before="0" w:after="2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D9488"/>
                <w:sz w:val="19"/>
              </w:rPr>
              <w:t>ENTERPRISE AI PLATFORM · WORKSTATION &amp; SERVER</w:t>
            </w:r>
          </w:p>
          <w:p>
            <w:pPr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141822"/>
                <w:sz w:val="50"/>
              </w:rPr>
              <w:t>Nexus One AI</w:t>
            </w:r>
          </w:p>
          <w:p>
            <w:pPr>
              <w:spacing w:before="0" w:after="12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0B504A"/>
                <w:sz w:val="25"/>
              </w:rPr>
              <w:t>Technical buyer datasheet for Nexus One AI Workstation and Server deployment, infrastructure review, and platform evaluation.</w:t>
            </w:r>
          </w:p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5D6776"/>
                <w:sz w:val="20"/>
              </w:rPr>
              <w:t>Product Datasheet | July 2026</w:t>
            </w:r>
          </w:p>
        </w:tc>
        <w:tc>
          <w:tcPr>
            <w:tcW w:type="dxa" w:w="2232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097280" cy="32929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ezenLogo_HighResolution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3292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0" w:after="100" w:line="240" w:lineRule="auto"/>
        <w:jc w:val="left"/>
        <w:pBdr>
          <w:bottom w:val="single" w:sz="8" w:space="1" w:color="C9D7E8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C9E7E1"/>
          <w:left w:val="single" w:sz="6" w:color="C9E7E1"/>
          <w:bottom w:val="single" w:sz="6" w:color="C9E7E1"/>
          <w:right w:val="single" w:sz="6" w:color="C9E7E1"/>
          <w:insideH w:val="single" w:sz="6" w:color="C9E7E1"/>
          <w:insideV w:val="single" w:sz="6" w:color="C9E7E1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EEF8F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18"/>
              </w:rPr>
              <w:t>Install Model</w:t>
            </w:r>
          </w:p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Bootable ISO or scripted installer — Workstation or Server, Ubuntu 22.04</w:t>
            </w:r>
          </w:p>
        </w:tc>
        <w:tc>
          <w:tcPr>
            <w:tcW w:type="dxa" w:w="3120"/>
            <w:shd w:fill="EEF8F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18"/>
              </w:rPr>
              <w:t>Runtime Stack</w:t>
            </w:r>
          </w:p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Ollama, Open WebUI, ChromaDB, FastAPI, observability, admin controls</w:t>
            </w:r>
          </w:p>
        </w:tc>
        <w:tc>
          <w:tcPr>
            <w:tcW w:type="dxa" w:w="3120"/>
            <w:shd w:fill="EEF8F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18"/>
              </w:rPr>
              <w:t>Evaluation Fit</w:t>
            </w:r>
          </w:p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Private AI buyers assessing security, operability, and infrastructure readiness</w:t>
            </w:r>
          </w:p>
        </w:tc>
      </w:tr>
    </w:tbl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Product Structure</w:t>
      </w:r>
    </w:p>
    <w:p>
      <w:pPr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Nexus One AI is an enterprise AI platform delivered in two deployment models. Both share the same software platform, licensing model, and management experience — only the deployment form factor changes.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C9E7E1"/>
          <w:left w:val="single" w:sz="6" w:color="C9E7E1"/>
          <w:bottom w:val="single" w:sz="6" w:color="C9E7E1"/>
          <w:right w:val="single" w:sz="6" w:color="C9E7E1"/>
          <w:insideH w:val="single" w:sz="6" w:color="C9E7E1"/>
          <w:insideV w:val="single" w:sz="6" w:color="C9E7E1"/>
        </w:tblBorders>
      </w:tblPr>
      <w:tblGrid>
        <w:gridCol w:w="4680"/>
        <w:gridCol w:w="4680"/>
      </w:tblGrid>
      <w:tr>
        <w:tc>
          <w:tcPr>
            <w:tcW w:type="dxa" w:w="4680"/>
            <w:shd w:fill="EEF8F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60" w:line="264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2"/>
              </w:rPr>
              <w:t>Nexus One AI Workstation</w:t>
            </w:r>
          </w:p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Personal AI appliance for individual developers, data scientists, researchers, universities, innovation labs, and CXOs. 1-3 active users, 5 max. Not a shared server — no HA or server-redundancy expectations.</w:t>
            </w:r>
          </w:p>
        </w:tc>
        <w:tc>
          <w:tcPr>
            <w:tcW w:type="dxa" w:w="4680"/>
            <w:shd w:fill="EEF8F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60" w:line="264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2"/>
              </w:rPr>
              <w:t>Nexus One AI Server</w:t>
            </w:r>
          </w:p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Shared enterprise AI platform for teams, departments, and organizations. Four tiers — Server S, Server M, Server L, Server Max — scaling from small-team pilots to 100+ user enterprise deployments.</w:t>
            </w:r>
          </w:p>
        </w:tc>
      </w:tr>
    </w:tbl>
    <w:p>
      <w:pPr>
        <w:spacing w:before="120" w:after="0" w:line="288" w:lineRule="auto"/>
        <w:jc w:val="left"/>
      </w:pPr>
      <w:r>
        <w:rPr>
          <w:rFonts w:ascii="Calibri" w:hAnsi="Calibri"/>
          <w:b w:val="0"/>
          <w:i/>
          <w:color w:val="5D6776"/>
          <w:sz w:val="19"/>
        </w:rPr>
        <w:t>This separates deployment form factor from enterprise capability, allowing the platform to scale from a single workstation to multi-node enterprise clusters without changing the user experience.</w:t>
      </w:r>
    </w:p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System Architecture</w:t>
      </w:r>
    </w:p>
    <w:p>
      <w:pPr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Nexus One AI is packaged as a deployable private AI stack that combines local model serving, document retrieval, user access controls, management APIs, and system monitoring on customer-controlled infrastructure.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7DEE8"/>
          <w:left w:val="single" w:sz="6" w:color="D7DEE8"/>
          <w:bottom w:val="single" w:sz="6" w:color="D7DEE8"/>
          <w:right w:val="single" w:sz="6" w:color="D7DEE8"/>
          <w:insideH w:val="single" w:sz="6" w:color="D7DEE8"/>
          <w:insideV w:val="single" w:sz="6" w:color="D7DEE8"/>
        </w:tblBorders>
      </w:tblPr>
      <w:tblGrid>
        <w:gridCol w:w="3120"/>
        <w:gridCol w:w="3120"/>
        <w:gridCol w:w="3120"/>
      </w:tblGrid>
      <w:tr>
        <w:tc>
          <w:tcPr>
            <w:tcW w:type="dxa" w:w="234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Layer</w:t>
            </w:r>
          </w:p>
        </w:tc>
        <w:tc>
          <w:tcPr>
            <w:tcW w:type="dxa" w:w="300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Primary Components</w:t>
            </w:r>
          </w:p>
        </w:tc>
        <w:tc>
          <w:tcPr>
            <w:tcW w:type="dxa" w:w="402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Technical Role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Inference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Ollama, local model catalog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Runs LLM inference on customer CPU/GPU resources without requiring public chat endpoints for core operation.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User Access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Portal UI, Open WebUI, auth layer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Provides browser access, prompt workflows, user sessions, and governed entry to AI tools.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Knowledge Retrieval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ChromaDB, upload pipeline, RAG paths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Indexes internal content and supports grounded question-answering over local documents.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Application &amp; Admin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FastAPI backend, settings, audit, backup logic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Exposes management, branding, licensing, audit, backup, and service-control functions.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Observability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Grafana, Prometheus, GPU/system metrics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Supports operational monitoring, readiness checks, and infrastructure health review.</w:t>
            </w:r>
          </w:p>
        </w:tc>
      </w:tr>
    </w:tbl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Deployment and Runtime Model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Deploys on customer-controlled Ubuntu 22.04 infrastructure as an appliance-style stack rather than a hosted SaaS tenant.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Provisioning options include a bootable ISO for zero-touch bring-up and a scripted installer for fresh server builds.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Designed to run fully within the customer network after installation, including environments that restrict or avoid public internet access.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Supports CPU-only baseline operation and scales upward with NVIDIA GPU capacity for stronger local inference and multi-user responsiveness.</w:t>
      </w:r>
    </w:p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Control and Risk Surface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Prompt traffic, uploaded documents, application data, and model execution stay within the customer-managed environment.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Authentication, user administration, audit logging, backup workflows, and service status are part of the packaged control plane.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Observability components help buyers evaluate operational readiness rather than treating monitoring as a separate post-sale project.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Final production posture should still be validated against customer IAM, backup, network segmentation, and compliance requirements.</w:t>
      </w:r>
    </w:p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Technical Fit Profiles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7DEE8"/>
          <w:left w:val="single" w:sz="6" w:color="D7DEE8"/>
          <w:bottom w:val="single" w:sz="6" w:color="D7DEE8"/>
          <w:right w:val="single" w:sz="6" w:color="D7DEE8"/>
          <w:insideH w:val="single" w:sz="6" w:color="D7DEE8"/>
          <w:insideV w:val="single" w:sz="6" w:color="D7DEE8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156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Profile</w:t>
            </w:r>
          </w:p>
        </w:tc>
        <w:tc>
          <w:tcPr>
            <w:tcW w:type="dxa" w:w="234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Infrastructure Shape</w:t>
            </w:r>
          </w:p>
        </w:tc>
        <w:tc>
          <w:tcPr>
            <w:tcW w:type="dxa" w:w="216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Expected Fit</w:t>
            </w:r>
          </w:p>
        </w:tc>
        <w:tc>
          <w:tcPr>
            <w:tcW w:type="dxa" w:w="330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Practical Notes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CPU Core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8+ CPU cores, 32 GB RAM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Pilot or low-concurrency evaluation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Good for portal, admin, document workflows, and limited local model usage.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GPU Starter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Single NVIDIA GPU, 24-48 GB VRAM class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Departmental production fit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Improves model responsiveness, document Q&amp;A, and sustained internal use.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GPU Pro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Higher VRAM or multi-GPU server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Multi-team production rollout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Better suited for larger workloads, advanced routing, and stronger concurrency.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GPU Max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Large multi-GPU enterprise host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Custom enterprise package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Supports more demanding private AI programs and specialized deployment sizing.</w:t>
            </w:r>
          </w:p>
        </w:tc>
      </w:tr>
    </w:tbl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Buyer Evaluation Checklist</w:t>
      </w:r>
    </w:p>
    <w:p>
      <w:pPr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The table below is structured for infrastructure, security, and procurement review teams evaluating whether the platform fits their internal AI deployment criteria.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7DEE8"/>
          <w:left w:val="single" w:sz="6" w:color="D7DEE8"/>
          <w:bottom w:val="single" w:sz="6" w:color="D7DEE8"/>
          <w:right w:val="single" w:sz="6" w:color="D7DEE8"/>
          <w:insideH w:val="single" w:sz="6" w:color="D7DEE8"/>
          <w:insideV w:val="single" w:sz="6" w:color="D7DEE8"/>
        </w:tblBorders>
      </w:tblPr>
      <w:tblGrid>
        <w:gridCol w:w="3120"/>
        <w:gridCol w:w="3120"/>
        <w:gridCol w:w="3120"/>
      </w:tblGrid>
      <w:tr>
        <w:tc>
          <w:tcPr>
            <w:tcW w:type="dxa" w:w="2100"/>
            <w:shd w:fill="F2F6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Evaluation Area</w:t>
            </w:r>
          </w:p>
        </w:tc>
        <w:tc>
          <w:tcPr>
            <w:tcW w:type="dxa" w:w="3180"/>
            <w:shd w:fill="F2F6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What To Verify</w:t>
            </w:r>
          </w:p>
        </w:tc>
        <w:tc>
          <w:tcPr>
            <w:tcW w:type="dxa" w:w="4080"/>
            <w:shd w:fill="F2F6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Current Platform Position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Security Boundary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Whether prompts, documents, and model inference remain inside the customer environment.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Designed for on-premises use with local inference, local storage, and internal-network deployment patterns.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Deployment Method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How quickly the stack can be provisioned and reproduced across test, demo, and customer environments.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Supports both a bootable ISO path and an automated installer path for Ubuntu 22.04 systems.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Operations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Whether admins can monitor services, capacity, and readiness without separate tooling projects.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Includes system status, metrics, backup controls, audit surfaces, and appliance operations pages.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Extensibility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Whether internal teams can build or expose custom flows on top of the base stack.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Includes FastAPI, JupyterLab, and service building blocks for extension and internal integration work.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Commercial Fit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How packaging scales from a single developer workstation to broader multi-team rollout.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Nexus One AI Workstation for individual use, plus Server S through Server Max for department-to-enterprise-scale deployments with increasing controls and features.</w:t>
            </w:r>
          </w:p>
        </w:tc>
      </w:tr>
    </w:tbl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Server Commercial Packaging View</w:t>
      </w:r>
    </w:p>
    <w:p>
      <w:pPr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Packaging is designed to align commercial scope with technical breadth, so buyers can evaluate a smaller controlled rollout first and expand to broader operational use later. This table covers the Nexus One AI Server line; Nexus One AI Workstation is a separate, standalone category (see “Product Structure” above) and is not part of this tier ladder.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7DEE8"/>
          <w:left w:val="single" w:sz="6" w:color="D7DEE8"/>
          <w:bottom w:val="single" w:sz="6" w:color="D7DEE8"/>
          <w:right w:val="single" w:sz="6" w:color="D7DEE8"/>
          <w:insideH w:val="single" w:sz="6" w:color="D7DEE8"/>
          <w:insideV w:val="single" w:sz="6" w:color="D7DEE8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180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Server Tier</w:t>
            </w:r>
          </w:p>
        </w:tc>
        <w:tc>
          <w:tcPr>
            <w:tcW w:type="dxa" w:w="204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Users</w:t>
            </w:r>
          </w:p>
        </w:tc>
        <w:tc>
          <w:tcPr>
            <w:tcW w:type="dxa" w:w="264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Deployment Intent</w:t>
            </w:r>
          </w:p>
        </w:tc>
        <w:tc>
          <w:tcPr>
            <w:tcW w:type="dxa" w:w="288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Included Scope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Server S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Up to 10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Department pilot or contained team rollout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AI Workspace, portal, RAG basics, backup and Governance &amp; Audit foundations.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Server M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Up to 25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Single-department production deployment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Adds meeting assistant, broader knowledge features, and limited MCP &amp; Enterprise Connectors scope.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Server L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Up to 100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Multi-team production program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Advanced RAG, connectors, model routing, stronger guardrails, and Workflow Designer automation.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Server Max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Custom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Large enterprise or specialized infrastructure fit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Custom GPU sizing, advanced tuning paths, and expanded enterprise control scope.</w:t>
            </w:r>
          </w:p>
        </w:tc>
      </w:tr>
    </w:tbl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Deployment Requirements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C9E7E1"/>
          <w:left w:val="single" w:sz="6" w:color="C9E7E1"/>
          <w:bottom w:val="single" w:sz="6" w:color="C9E7E1"/>
          <w:right w:val="single" w:sz="6" w:color="C9E7E1"/>
          <w:insideH w:val="single" w:sz="6" w:color="C9E7E1"/>
          <w:insideV w:val="single" w:sz="6" w:color="C9E7E1"/>
        </w:tblBorders>
      </w:tblPr>
      <w:tblGrid>
        <w:gridCol w:w="4680"/>
        <w:gridCol w:w="4680"/>
      </w:tblGrid>
      <w:tr>
        <w:tc>
          <w:tcPr>
            <w:tcW w:type="dxa" w:w="2340"/>
            <w:shd w:fill="EEF8F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Operating Base</w:t>
            </w:r>
          </w:p>
        </w:tc>
        <w:tc>
          <w:tcPr>
            <w:tcW w:type="dxa" w:w="7020"/>
            <w:shd w:fill="FAFCFD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Ubuntu 22.04 server environment with internal network access and sufficient local storage for models, logs, and indexed content.</w:t>
            </w:r>
          </w:p>
        </w:tc>
      </w:tr>
      <w:tr>
        <w:tc>
          <w:tcPr>
            <w:tcW w:type="dxa" w:w="2340"/>
            <w:shd w:fill="EEF8F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Minimum Evaluation Build</w:t>
            </w:r>
          </w:p>
        </w:tc>
        <w:tc>
          <w:tcPr>
            <w:tcW w:type="dxa" w:w="7020"/>
            <w:shd w:fill="FAFCFD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8+ CPU cores, 32 GB RAM, 100+ GB free storage. Suitable for controlled evaluation and lower-concurrency use.</w:t>
            </w:r>
          </w:p>
        </w:tc>
      </w:tr>
      <w:tr>
        <w:tc>
          <w:tcPr>
            <w:tcW w:type="dxa" w:w="2340"/>
            <w:shd w:fill="EEF8F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Recommended Production Build</w:t>
            </w:r>
          </w:p>
        </w:tc>
        <w:tc>
          <w:tcPr>
            <w:tcW w:type="dxa" w:w="7020"/>
            <w:shd w:fill="FAFCFD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NVIDIA GPU-backed server for stronger local inference, larger document workloads, and multi-user responsiveness.</w:t>
            </w:r>
          </w:p>
        </w:tc>
      </w:tr>
    </w:tbl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Platform Roadmap</w:t>
      </w:r>
    </w:p>
    <w:p>
      <w:pPr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Near-term enterprise capabilities planned for Nexus One AI, building directly on today's platform. Direction, not dates.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7DEE8"/>
          <w:left w:val="single" w:sz="6" w:color="D7DEE8"/>
          <w:bottom w:val="single" w:sz="6" w:color="D7DEE8"/>
          <w:right w:val="single" w:sz="6" w:color="D7DEE8"/>
          <w:insideH w:val="single" w:sz="6" w:color="D7DEE8"/>
          <w:insideV w:val="single" w:sz="6" w:color="D7DEE8"/>
        </w:tblBorders>
      </w:tblPr>
      <w:tblGrid>
        <w:gridCol w:w="4680"/>
        <w:gridCol w:w="4680"/>
      </w:tblGrid>
      <w:tr>
        <w:tc>
          <w:tcPr>
            <w:tcW w:type="dxa" w:w="270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Capability</w:t>
            </w:r>
          </w:p>
        </w:tc>
        <w:tc>
          <w:tcPr>
            <w:tcW w:type="dxa" w:w="666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Scope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19"/>
              </w:rPr>
              <w:t>Enterprise Authentication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LDAP, Active Directory, SAML, OAuth, OIDC.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19"/>
              </w:rPr>
              <w:t>MCP &amp; Enterprise Connectors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SharePoint, OneDrive, SAP, Oracle, SQL, REST, GitHub, Jira, ServiceNow via MCP.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19"/>
              </w:rPr>
              <w:t>AI Monitoring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GPU/CPU/RAM/VRAM, latency, tokens/sec, queue depth, model usage, active sessions, health.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19"/>
              </w:rPr>
              <w:t>Governance &amp; Audit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Prompt history, model usage, compliance, PII detection, policy violations, usage reports.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19"/>
              </w:rPr>
              <w:t>Model Catalog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Browse, install, update, rollback, versioning, recommended models.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19"/>
              </w:rPr>
              <w:t>Deployment Management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Node management, cluster health, storage, model synchronization, upgrade status, licensing overview.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19"/>
              </w:rPr>
              <w:t>Secrets Management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Secure storage for API keys, passwords, certificates, tokens, external credentials.</w:t>
            </w:r>
          </w:p>
        </w:tc>
      </w:tr>
    </w:tbl>
    <w:p>
      <w:pPr>
        <w:spacing w:before="120" w:after="0" w:line="288" w:lineRule="auto"/>
        <w:jc w:val="left"/>
      </w:pPr>
      <w:r>
        <w:rPr>
          <w:rFonts w:ascii="Calibri" w:hAnsi="Calibri"/>
          <w:b w:val="0"/>
          <w:i/>
          <w:color w:val="5D6776"/>
          <w:sz w:val="19"/>
        </w:rPr>
        <w:t>Beyond these near-term items, the same additive pattern used for Workstation — a standalone deployment model alongside Server, not inside its tier ladder — is the intended template for future Cluster, Edge, and Hybrid Cloud deployment models running the same software platform.</w:t>
      </w:r>
    </w:p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Selection Summary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Best suited for buyers who want an on-premises AI platform rather than a thin front end on top of external hosted models.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Stronger than a basic demo stack when the evaluation criteria include admin controls, packaged monitoring, deployment repeatability, and operational visibility.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Most compelling where procurement, IT, and security teams need a concrete private-AI deployment story they can inspect and score.</w:t>
      </w:r>
    </w:p>
    <w:p>
      <w:pPr>
        <w:spacing w:before="160" w:after="0" w:line="276" w:lineRule="auto"/>
        <w:jc w:val="left"/>
      </w:pPr>
      <w:r>
        <w:rPr>
          <w:rFonts w:ascii="Calibri" w:hAnsi="Calibri"/>
          <w:b/>
          <w:i w:val="0"/>
          <w:color w:val="0B504A"/>
          <w:sz w:val="19"/>
        </w:rPr>
        <w:t xml:space="preserve">Buyer note: </w:t>
      </w:r>
      <w:r>
        <w:rPr>
          <w:rFonts w:ascii="Calibri" w:hAnsi="Calibri"/>
          <w:b w:val="0"/>
          <w:i w:val="0"/>
          <w:color w:val="5D6776"/>
          <w:sz w:val="19"/>
        </w:rPr>
        <w:t>Final sizing, model catalog, connector scope, identity integration, and backup posture should be confirmed against the buyer’s target workload and internal standards.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jc w:val="left"/>
    </w:pPr>
    <w:r>
      <w:rPr>
        <w:rFonts w:ascii="Calibri" w:hAnsi="Calibri"/>
        <w:b w:val="0"/>
        <w:i w:val="0"/>
        <w:color w:val="5D6776"/>
        <w:sz w:val="18"/>
      </w:rPr>
      <w:t>Powered by Cezen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jc w:val="left"/>
    </w:pPr>
    <w:r>
      <w:rPr>
        <w:rFonts w:ascii="Calibri" w:hAnsi="Calibri"/>
        <w:b/>
        <w:i w:val="0"/>
        <w:color w:val="5D6776"/>
        <w:sz w:val="19"/>
      </w:rPr>
      <w:t>Nexus One AI Datasheet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