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FFFFFF"/>
          <w:left w:val="single" w:sz="6" w:color="FFFFFF"/>
          <w:bottom w:val="single" w:sz="6" w:color="FFFFFF"/>
          <w:right w:val="single" w:sz="6" w:color="FFFFFF"/>
          <w:insideH w:val="single" w:sz="6" w:color="FFFFFF"/>
          <w:insideV w:val="single" w:sz="6" w:color="FFFFFF"/>
        </w:tblBorders>
      </w:tblPr>
      <w:tblGrid>
        <w:gridCol w:w="7128"/>
        <w:gridCol w:w="2232"/>
      </w:tblGrid>
      <w:tr>
        <w:tc>
          <w:tcPr>
            <w:tcW w:type="dxa" w:w="7128"/>
          </w:tcPr>
          <w:p>
            <w:pPr>
              <w:spacing w:before="0" w:after="2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D9488"/>
                <w:sz w:val="19"/>
              </w:rPr>
              <w:t>PRIVATE ENTERPRISE AI APPLIANCE</w:t>
            </w:r>
          </w:p>
          <w:p>
            <w:pPr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141822"/>
                <w:sz w:val="50"/>
              </w:rPr>
              <w:t>Nexus One AI</w:t>
            </w:r>
          </w:p>
          <w:p>
            <w:pPr>
              <w:spacing w:before="0" w:after="12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0B504A"/>
                <w:sz w:val="25"/>
              </w:rPr>
              <w:t>Technical buyer datasheet for private AI deployment, infrastructure review, and platform evaluation.</w:t>
            </w:r>
          </w:p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5D6776"/>
                <w:sz w:val="20"/>
              </w:rPr>
              <w:t>Product Datasheet | July 2026</w:t>
            </w:r>
          </w:p>
        </w:tc>
        <w:tc>
          <w:tcPr>
            <w:tcW w:type="dxa" w:w="2232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1097280" cy="32929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ezenLogo_HighResolution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3292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0" w:after="100" w:line="240" w:lineRule="auto"/>
        <w:jc w:val="left"/>
        <w:pBdr>
          <w:bottom w:val="single" w:sz="8" w:space="1" w:color="C9D7E8"/>
        </w:pBd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C9E7E1"/>
          <w:left w:val="single" w:sz="6" w:color="C9E7E1"/>
          <w:bottom w:val="single" w:sz="6" w:color="C9E7E1"/>
          <w:right w:val="single" w:sz="6" w:color="C9E7E1"/>
          <w:insideH w:val="single" w:sz="6" w:color="C9E7E1"/>
          <w:insideV w:val="single" w:sz="6" w:color="C9E7E1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EEF8F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18"/>
              </w:rPr>
              <w:t>Install Model</w:t>
            </w:r>
          </w:p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Bootable ISO or scripted installer for Ubuntu 22.04</w:t>
            </w:r>
          </w:p>
        </w:tc>
        <w:tc>
          <w:tcPr>
            <w:tcW w:type="dxa" w:w="3120"/>
            <w:shd w:fill="EEF8F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18"/>
              </w:rPr>
              <w:t>Runtime Stack</w:t>
            </w:r>
          </w:p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Ollama, Open WebUI, ChromaDB, FastAPI, observability, admin controls</w:t>
            </w:r>
          </w:p>
        </w:tc>
        <w:tc>
          <w:tcPr>
            <w:tcW w:type="dxa" w:w="3120"/>
            <w:shd w:fill="EEF8F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18"/>
              </w:rPr>
              <w:t>Evaluation Fit</w:t>
            </w:r>
          </w:p>
          <w:p>
            <w:pPr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Private AI buyers assessing security, operability, and infrastructure readiness</w:t>
            </w:r>
          </w:p>
        </w:tc>
      </w:tr>
    </w:tbl>
    <w:p>
      <w:pPr>
        <w:spacing w:before="280" w:after="140" w:line="276" w:lineRule="auto"/>
        <w:jc w:val="left"/>
      </w:pPr>
      <w:r>
        <w:rPr>
          <w:rFonts w:ascii="Calibri" w:hAnsi="Calibri"/>
          <w:b/>
          <w:i w:val="0"/>
          <w:color w:val="0B504A"/>
          <w:sz w:val="32"/>
        </w:rPr>
        <w:t>System Architecture</w:t>
      </w:r>
    </w:p>
    <w:p>
      <w:pPr>
        <w:spacing w:before="0" w:after="12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Nexus One AI is packaged as a deployable private AI stack that combines local model serving, document retrieval, user access controls, management APIs, and system monitoring on customer-controlled infrastructure.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7DEE8"/>
          <w:left w:val="single" w:sz="6" w:color="D7DEE8"/>
          <w:bottom w:val="single" w:sz="6" w:color="D7DEE8"/>
          <w:right w:val="single" w:sz="6" w:color="D7DEE8"/>
          <w:insideH w:val="single" w:sz="6" w:color="D7DEE8"/>
          <w:insideV w:val="single" w:sz="6" w:color="D7DEE8"/>
        </w:tblBorders>
      </w:tblPr>
      <w:tblGrid>
        <w:gridCol w:w="3120"/>
        <w:gridCol w:w="3120"/>
        <w:gridCol w:w="3120"/>
      </w:tblGrid>
      <w:tr>
        <w:tc>
          <w:tcPr>
            <w:tcW w:type="dxa" w:w="2340"/>
            <w:shd w:fill="E8EE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Layer</w:t>
            </w:r>
          </w:p>
        </w:tc>
        <w:tc>
          <w:tcPr>
            <w:tcW w:type="dxa" w:w="3000"/>
            <w:shd w:fill="E8EE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Primary Components</w:t>
            </w:r>
          </w:p>
        </w:tc>
        <w:tc>
          <w:tcPr>
            <w:tcW w:type="dxa" w:w="4020"/>
            <w:shd w:fill="E8EE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Technical Role</w:t>
            </w:r>
          </w:p>
        </w:tc>
      </w:tr>
      <w:t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Inference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Ollama, local model catalog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Runs LLM inference on customer CPU/GPU resources without requiring public chat endpoints for core operation.</w:t>
            </w:r>
          </w:p>
        </w:tc>
      </w:tr>
      <w:t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User Access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Portal UI, Open WebUI, auth layer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Provides browser access, prompt workflows, user sessions, and governed entry to AI tools.</w:t>
            </w:r>
          </w:p>
        </w:tc>
      </w:tr>
      <w:t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Knowledge Retrieval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ChromaDB, upload pipeline, RAG paths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Indexes internal content and supports grounded question-answering over local documents.</w:t>
            </w:r>
          </w:p>
        </w:tc>
      </w:tr>
      <w:t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Application &amp; Admin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FastAPI backend, settings, audit, backup logic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Exposes management, branding, licensing, audit, backup, and service-control functions.</w:t>
            </w:r>
          </w:p>
        </w:tc>
      </w:tr>
      <w:t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Observability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Grafana, Prometheus, GPU/system metrics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Supports operational monitoring, readiness checks, and infrastructure health review.</w:t>
            </w:r>
          </w:p>
        </w:tc>
      </w:tr>
    </w:tbl>
    <w:p>
      <w:pPr>
        <w:spacing w:before="280" w:after="140" w:line="276" w:lineRule="auto"/>
        <w:jc w:val="left"/>
      </w:pPr>
      <w:r>
        <w:rPr>
          <w:rFonts w:ascii="Calibri" w:hAnsi="Calibri"/>
          <w:b/>
          <w:i w:val="0"/>
          <w:color w:val="0B504A"/>
          <w:sz w:val="32"/>
        </w:rPr>
        <w:t>Deployment and Runtime Model</w:t>
      </w:r>
    </w:p>
    <w:p>
      <w:pPr>
        <w:pStyle w:val="ListBullet"/>
        <w:spacing w:before="0" w:after="8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Deploys on customer-controlled Ubuntu 22.04 infrastructure as an appliance-style stack rather than a hosted SaaS tenant.</w:t>
      </w:r>
    </w:p>
    <w:p>
      <w:pPr>
        <w:pStyle w:val="ListBullet"/>
        <w:spacing w:before="0" w:after="8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Provisioning options include a bootable ISO for zero-touch bring-up and a scripted installer for fresh server builds.</w:t>
      </w:r>
    </w:p>
    <w:p>
      <w:pPr>
        <w:pStyle w:val="ListBullet"/>
        <w:spacing w:before="0" w:after="8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Designed to run fully within the customer network after installation, including environments that restrict or avoid public internet access.</w:t>
      </w:r>
    </w:p>
    <w:p>
      <w:pPr>
        <w:pStyle w:val="ListBullet"/>
        <w:spacing w:before="0" w:after="8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Supports CPU-only baseline operation and scales upward with NVIDIA GPU capacity for stronger local inference and multi-user responsiveness.</w:t>
      </w:r>
    </w:p>
    <w:p>
      <w:pPr>
        <w:spacing w:before="280" w:after="140" w:line="276" w:lineRule="auto"/>
        <w:jc w:val="left"/>
      </w:pPr>
      <w:r>
        <w:rPr>
          <w:rFonts w:ascii="Calibri" w:hAnsi="Calibri"/>
          <w:b/>
          <w:i w:val="0"/>
          <w:color w:val="0B504A"/>
          <w:sz w:val="32"/>
        </w:rPr>
        <w:t>Control and Risk Surface</w:t>
      </w:r>
    </w:p>
    <w:p>
      <w:pPr>
        <w:pStyle w:val="ListBullet"/>
        <w:spacing w:before="0" w:after="8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Prompt traffic, uploaded documents, application data, and model execution stay within the customer-managed environment.</w:t>
      </w:r>
    </w:p>
    <w:p>
      <w:pPr>
        <w:pStyle w:val="ListBullet"/>
        <w:spacing w:before="0" w:after="8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Authentication, user administration, audit logging, backup workflows, and service status are part of the packaged control plane.</w:t>
      </w:r>
    </w:p>
    <w:p>
      <w:pPr>
        <w:pStyle w:val="ListBullet"/>
        <w:spacing w:before="0" w:after="8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Observability components help buyers evaluate operational readiness rather than treating monitoring as a separate post-sale project.</w:t>
      </w:r>
    </w:p>
    <w:p>
      <w:pPr>
        <w:pStyle w:val="ListBullet"/>
        <w:spacing w:before="0" w:after="8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Final production posture should still be validated against customer IAM, backup, network segmentation, and compliance requirements.</w:t>
      </w:r>
    </w:p>
    <w:p>
      <w:pPr>
        <w:spacing w:before="280" w:after="140" w:line="276" w:lineRule="auto"/>
        <w:jc w:val="left"/>
      </w:pPr>
      <w:r>
        <w:rPr>
          <w:rFonts w:ascii="Calibri" w:hAnsi="Calibri"/>
          <w:b/>
          <w:i w:val="0"/>
          <w:color w:val="0B504A"/>
          <w:sz w:val="32"/>
        </w:rPr>
        <w:t>Technical Fit Profiles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7DEE8"/>
          <w:left w:val="single" w:sz="6" w:color="D7DEE8"/>
          <w:bottom w:val="single" w:sz="6" w:color="D7DEE8"/>
          <w:right w:val="single" w:sz="6" w:color="D7DEE8"/>
          <w:insideH w:val="single" w:sz="6" w:color="D7DEE8"/>
          <w:insideV w:val="single" w:sz="6" w:color="D7DEE8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1560"/>
            <w:shd w:fill="E8EE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Profile</w:t>
            </w:r>
          </w:p>
        </w:tc>
        <w:tc>
          <w:tcPr>
            <w:tcW w:type="dxa" w:w="2340"/>
            <w:shd w:fill="E8EE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Infrastructure Shape</w:t>
            </w:r>
          </w:p>
        </w:tc>
        <w:tc>
          <w:tcPr>
            <w:tcW w:type="dxa" w:w="2160"/>
            <w:shd w:fill="E8EE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Expected Fit</w:t>
            </w:r>
          </w:p>
        </w:tc>
        <w:tc>
          <w:tcPr>
            <w:tcW w:type="dxa" w:w="3300"/>
            <w:shd w:fill="E8EE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Practical Notes</w:t>
            </w: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CPU Core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8+ CPU cores, 32 GB RAM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Pilot or low-concurrency evaluation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Good for portal, admin, document workflows, and limited local model usage.</w:t>
            </w: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GPU Starter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Single NVIDIA GPU, 24-48 GB VRAM class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Departmental production fit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Improves model responsiveness, document Q&amp;A, and sustained internal use.</w:t>
            </w: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GPU Pro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Higher VRAM or multi-GPU server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Multi-team production rollout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Better suited for larger workloads, advanced routing, and stronger concurrency.</w:t>
            </w: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GPU Max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Large multi-GPU enterprise host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Custom enterprise package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Supports more demanding private AI programs and specialized deployment sizing.</w:t>
            </w:r>
          </w:p>
        </w:tc>
      </w:tr>
    </w:tbl>
    <w:p>
      <w:pPr>
        <w:spacing w:before="280" w:after="140" w:line="276" w:lineRule="auto"/>
        <w:jc w:val="left"/>
      </w:pPr>
      <w:r>
        <w:rPr>
          <w:rFonts w:ascii="Calibri" w:hAnsi="Calibri"/>
          <w:b/>
          <w:i w:val="0"/>
          <w:color w:val="0B504A"/>
          <w:sz w:val="32"/>
        </w:rPr>
        <w:t>Buyer Evaluation Checklist</w:t>
      </w:r>
    </w:p>
    <w:p>
      <w:pPr>
        <w:spacing w:before="0" w:after="12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The table below is structured for infrastructure, security, and procurement review teams evaluating whether the platform fits their internal AI deployment criteria.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7DEE8"/>
          <w:left w:val="single" w:sz="6" w:color="D7DEE8"/>
          <w:bottom w:val="single" w:sz="6" w:color="D7DEE8"/>
          <w:right w:val="single" w:sz="6" w:color="D7DEE8"/>
          <w:insideH w:val="single" w:sz="6" w:color="D7DEE8"/>
          <w:insideV w:val="single" w:sz="6" w:color="D7DEE8"/>
        </w:tblBorders>
      </w:tblPr>
      <w:tblGrid>
        <w:gridCol w:w="3120"/>
        <w:gridCol w:w="3120"/>
        <w:gridCol w:w="3120"/>
      </w:tblGrid>
      <w:tr>
        <w:tc>
          <w:tcPr>
            <w:tcW w:type="dxa" w:w="2100"/>
            <w:shd w:fill="F2F6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Evaluation Area</w:t>
            </w:r>
          </w:p>
        </w:tc>
        <w:tc>
          <w:tcPr>
            <w:tcW w:type="dxa" w:w="3180"/>
            <w:shd w:fill="F2F6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What To Verify</w:t>
            </w:r>
          </w:p>
        </w:tc>
        <w:tc>
          <w:tcPr>
            <w:tcW w:type="dxa" w:w="4080"/>
            <w:shd w:fill="F2F6FA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Current Platform Position</w:t>
            </w:r>
          </w:p>
        </w:tc>
      </w:tr>
      <w:t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Security Boundary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Whether prompts, documents, and model inference remain inside the customer environment.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Designed for on-premises use with local inference, local storage, and internal-network deployment patterns.</w:t>
            </w:r>
          </w:p>
        </w:tc>
      </w:tr>
      <w:t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Deployment Method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How quickly the stack can be provisioned and reproduced across test, demo, and customer environments.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Supports both a bootable ISO path and an automated installer path for Ubuntu 22.04 systems.</w:t>
            </w:r>
          </w:p>
        </w:tc>
      </w:tr>
      <w:t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Operations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Whether admins can monitor services, capacity, and readiness without separate tooling projects.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Includes system status, metrics, backup controls, audit surfaces, and appliance operations pages.</w:t>
            </w:r>
          </w:p>
        </w:tc>
      </w:tr>
      <w:t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Extensibility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Whether internal teams can build or expose custom flows on top of the base stack.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Includes FastAPI, JupyterLab, and service building blocks for extension and internal integration work.</w:t>
            </w:r>
          </w:p>
        </w:tc>
      </w:tr>
      <w:tr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Commercial Fit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How packaging scales from departmental pilot to broader multi-team rollout.</w:t>
            </w:r>
          </w:p>
        </w:tc>
        <w:tc>
          <w:tcPr>
            <w:tcW w:type="dxa" w:w="31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Tiered packaging supports starter through enterprise-scale deployments with increasing controls and features.</w:t>
            </w:r>
          </w:p>
        </w:tc>
      </w:tr>
    </w:tbl>
    <w:p>
      <w:pPr>
        <w:spacing w:before="280" w:after="140" w:line="276" w:lineRule="auto"/>
        <w:jc w:val="left"/>
      </w:pPr>
      <w:r>
        <w:rPr>
          <w:rFonts w:ascii="Calibri" w:hAnsi="Calibri"/>
          <w:b/>
          <w:i w:val="0"/>
          <w:color w:val="0B504A"/>
          <w:sz w:val="32"/>
        </w:rPr>
        <w:t>Commercial Packaging View</w:t>
      </w:r>
    </w:p>
    <w:p>
      <w:pPr>
        <w:spacing w:before="0" w:after="12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Packaging is designed to align commercial scope with technical breadth, so buyers can evaluate a smaller controlled rollout first and expand to broader operational use later.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7DEE8"/>
          <w:left w:val="single" w:sz="6" w:color="D7DEE8"/>
          <w:bottom w:val="single" w:sz="6" w:color="D7DEE8"/>
          <w:right w:val="single" w:sz="6" w:color="D7DEE8"/>
          <w:insideH w:val="single" w:sz="6" w:color="D7DEE8"/>
          <w:insideV w:val="single" w:sz="6" w:color="D7DEE8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1800"/>
            <w:shd w:fill="E8EE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Tier</w:t>
            </w:r>
          </w:p>
        </w:tc>
        <w:tc>
          <w:tcPr>
            <w:tcW w:type="dxa" w:w="2040"/>
            <w:shd w:fill="E8EE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Users</w:t>
            </w:r>
          </w:p>
        </w:tc>
        <w:tc>
          <w:tcPr>
            <w:tcW w:type="dxa" w:w="2640"/>
            <w:shd w:fill="E8EE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Deployment Intent</w:t>
            </w:r>
          </w:p>
        </w:tc>
        <w:tc>
          <w:tcPr>
            <w:tcW w:type="dxa" w:w="2880"/>
            <w:shd w:fill="E8EEF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Included Scope</w:t>
            </w: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Starter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Up to 10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Department pilot or contained team rollout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Private chat, portal, RAG basics, backup and audit foundations.</w:t>
            </w: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Basic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Up to 25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Single-department production deployment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Adds meeting assistant, broader knowledge features, and limited connector scope.</w:t>
            </w: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Pro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Up to 100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Multi-team production program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Advanced RAG, connectors, model routing, stronger guardrails, and workflow automation.</w:t>
            </w:r>
          </w:p>
        </w:tc>
      </w:tr>
      <w:tr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Max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Custom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Large enterprise or specialized infrastructure fit</w:t>
            </w:r>
          </w:p>
        </w:tc>
        <w:tc>
          <w:tcPr>
            <w:tcW w:type="dxa" w:w="23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83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19"/>
              </w:rPr>
              <w:t>Custom GPU sizing, advanced tuning paths, and expanded enterprise control scope.</w:t>
            </w:r>
          </w:p>
        </w:tc>
      </w:tr>
    </w:tbl>
    <w:p>
      <w:pPr>
        <w:spacing w:before="280" w:after="140" w:line="276" w:lineRule="auto"/>
        <w:jc w:val="left"/>
      </w:pPr>
      <w:r>
        <w:rPr>
          <w:rFonts w:ascii="Calibri" w:hAnsi="Calibri"/>
          <w:b/>
          <w:i w:val="0"/>
          <w:color w:val="0B504A"/>
          <w:sz w:val="32"/>
        </w:rPr>
        <w:t>Deployment Requirements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C9E7E1"/>
          <w:left w:val="single" w:sz="6" w:color="C9E7E1"/>
          <w:bottom w:val="single" w:sz="6" w:color="C9E7E1"/>
          <w:right w:val="single" w:sz="6" w:color="C9E7E1"/>
          <w:insideH w:val="single" w:sz="6" w:color="C9E7E1"/>
          <w:insideV w:val="single" w:sz="6" w:color="C9E7E1"/>
        </w:tblBorders>
      </w:tblPr>
      <w:tblGrid>
        <w:gridCol w:w="4680"/>
        <w:gridCol w:w="4680"/>
      </w:tblGrid>
      <w:tr>
        <w:tc>
          <w:tcPr>
            <w:tcW w:type="dxa" w:w="2340"/>
            <w:shd w:fill="EEF8F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Operating Base</w:t>
            </w:r>
          </w:p>
        </w:tc>
        <w:tc>
          <w:tcPr>
            <w:tcW w:type="dxa" w:w="7020"/>
            <w:shd w:fill="FAFCFD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Ubuntu 22.04 server environment with internal network access and sufficient local storage for models, logs, and indexed content.</w:t>
            </w:r>
          </w:p>
        </w:tc>
      </w:tr>
      <w:tr>
        <w:tc>
          <w:tcPr>
            <w:tcW w:type="dxa" w:w="2340"/>
            <w:shd w:fill="EEF8F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Minimum Evaluation Build</w:t>
            </w:r>
          </w:p>
        </w:tc>
        <w:tc>
          <w:tcPr>
            <w:tcW w:type="dxa" w:w="7020"/>
            <w:shd w:fill="FAFCFD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8+ CPU cores, 32 GB RAM, 100+ GB free storage. Suitable for controlled evaluation and lower-concurrency use.</w:t>
            </w:r>
          </w:p>
        </w:tc>
      </w:tr>
      <w:tr>
        <w:tc>
          <w:tcPr>
            <w:tcW w:type="dxa" w:w="2340"/>
            <w:shd w:fill="EEF8F6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0B504A"/>
                <w:sz w:val="20"/>
              </w:rPr>
              <w:t>Recommended Production Build</w:t>
            </w:r>
          </w:p>
        </w:tc>
        <w:tc>
          <w:tcPr>
            <w:tcW w:type="dxa" w:w="7020"/>
            <w:shd w:fill="FAFCFD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88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141822"/>
                <w:sz w:val="20"/>
              </w:rPr>
              <w:t>NVIDIA GPU-backed server for stronger local inference, larger document workloads, and multi-user responsiveness.</w:t>
            </w:r>
          </w:p>
        </w:tc>
      </w:tr>
    </w:tbl>
    <w:p>
      <w:pPr>
        <w:spacing w:before="280" w:after="140" w:line="276" w:lineRule="auto"/>
        <w:jc w:val="left"/>
      </w:pPr>
      <w:r>
        <w:rPr>
          <w:rFonts w:ascii="Calibri" w:hAnsi="Calibri"/>
          <w:b/>
          <w:i w:val="0"/>
          <w:color w:val="0B504A"/>
          <w:sz w:val="32"/>
        </w:rPr>
        <w:t>Selection Summary</w:t>
      </w:r>
    </w:p>
    <w:p>
      <w:pPr>
        <w:pStyle w:val="ListBullet"/>
        <w:spacing w:before="0" w:after="8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Best suited for buyers who want an on-premises AI platform rather than a thin front end on top of external hosted models.</w:t>
      </w:r>
    </w:p>
    <w:p>
      <w:pPr>
        <w:pStyle w:val="ListBullet"/>
        <w:spacing w:before="0" w:after="8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Stronger than a basic demo stack when the evaluation criteria include admin controls, packaged monitoring, deployment repeatability, and operational visibility.</w:t>
      </w:r>
    </w:p>
    <w:p>
      <w:pPr>
        <w:pStyle w:val="ListBullet"/>
        <w:spacing w:before="0" w:after="80" w:line="300" w:lineRule="auto"/>
        <w:jc w:val="left"/>
      </w:pPr>
      <w:r>
        <w:rPr>
          <w:rFonts w:ascii="Calibri" w:hAnsi="Calibri"/>
          <w:b w:val="0"/>
          <w:i w:val="0"/>
          <w:color w:val="141822"/>
          <w:sz w:val="21"/>
        </w:rPr>
        <w:t>Most compelling where procurement, IT, and security teams need a concrete private-AI deployment story they can inspect and score.</w:t>
      </w:r>
    </w:p>
    <w:p>
      <w:pPr>
        <w:spacing w:before="160" w:after="0" w:line="276" w:lineRule="auto"/>
        <w:jc w:val="left"/>
      </w:pPr>
      <w:r>
        <w:rPr>
          <w:rFonts w:ascii="Calibri" w:hAnsi="Calibri"/>
          <w:b/>
          <w:i w:val="0"/>
          <w:color w:val="0B504A"/>
          <w:sz w:val="19"/>
        </w:rPr>
        <w:t xml:space="preserve">Buyer note: </w:t>
      </w:r>
      <w:r>
        <w:rPr>
          <w:rFonts w:ascii="Calibri" w:hAnsi="Calibri"/>
          <w:b w:val="0"/>
          <w:i w:val="0"/>
          <w:color w:val="5D6776"/>
          <w:sz w:val="19"/>
        </w:rPr>
        <w:t>Final sizing, model catalog, connector scope, identity integration, and backup posture should be confirmed against the buyer’s target workload and internal standards.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 w:line="240" w:lineRule="auto"/>
      <w:jc w:val="left"/>
    </w:pPr>
    <w:r>
      <w:rPr>
        <w:rFonts w:ascii="Calibri" w:hAnsi="Calibri"/>
        <w:b w:val="0"/>
        <w:i w:val="0"/>
        <w:color w:val="5D6776"/>
        <w:sz w:val="18"/>
      </w:rPr>
      <w:t>Powered by Cezen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 w:line="240" w:lineRule="auto"/>
      <w:jc w:val="left"/>
    </w:pPr>
    <w:r>
      <w:rPr>
        <w:rFonts w:ascii="Calibri" w:hAnsi="Calibri"/>
        <w:b/>
        <w:i w:val="0"/>
        <w:color w:val="5D6776"/>
        <w:sz w:val="19"/>
      </w:rPr>
      <w:t>Nexus One AI Datasheet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